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04" w:rsidRPr="002C7DBE" w:rsidRDefault="00C57F04" w:rsidP="00C57F04">
      <w:pPr>
        <w:rPr>
          <w:rFonts w:asciiTheme="minorHAnsi" w:hAnsiTheme="minorHAnsi" w:cstheme="minorHAnsi"/>
          <w:b/>
          <w:bCs/>
          <w:color w:val="2E74B5" w:themeColor="accent1" w:themeShade="BF"/>
          <w:sz w:val="26"/>
          <w:szCs w:val="26"/>
        </w:rPr>
      </w:pPr>
      <w:r w:rsidRPr="002C7DBE">
        <w:rPr>
          <w:rFonts w:asciiTheme="minorHAnsi" w:hAnsiTheme="minorHAnsi" w:cstheme="minorHAnsi"/>
          <w:b/>
          <w:bCs/>
          <w:color w:val="2E74B5" w:themeColor="accent1" w:themeShade="BF"/>
          <w:sz w:val="26"/>
          <w:szCs w:val="26"/>
        </w:rPr>
        <w:t xml:space="preserve">Key documents of the European Union </w:t>
      </w:r>
    </w:p>
    <w:p w:rsidR="00C57F04" w:rsidRPr="00BC1EF2" w:rsidRDefault="00C57F04" w:rsidP="00C57F04">
      <w:pPr>
        <w:rPr>
          <w:rFonts w:asciiTheme="minorHAnsi" w:hAnsiTheme="minorHAnsi" w:cstheme="minorHAnsi"/>
          <w:b/>
          <w:bCs/>
          <w:caps/>
          <w:color w:val="626161"/>
        </w:rPr>
      </w:pPr>
    </w:p>
    <w:p w:rsidR="006F1C42" w:rsidRPr="00350F7E" w:rsidRDefault="001A0015" w:rsidP="006F1C42">
      <w:pPr>
        <w:pStyle w:val="ListParagraph"/>
        <w:numPr>
          <w:ilvl w:val="0"/>
          <w:numId w:val="1"/>
        </w:num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bg-BG"/>
        </w:rPr>
      </w:pPr>
      <w:hyperlink r:id="rId5" w:history="1">
        <w:r w:rsidR="006F1C42" w:rsidRPr="00350F7E">
          <w:rPr>
            <w:rStyle w:val="Hyperlink"/>
            <w:rFonts w:asciiTheme="minorHAnsi" w:hAnsiTheme="minorHAnsi" w:cstheme="minorHAnsi"/>
            <w:sz w:val="22"/>
            <w:szCs w:val="22"/>
            <w:lang w:val="bg-BG"/>
          </w:rPr>
          <w:t>Новият европейски консенсус за развитие</w:t>
        </w:r>
      </w:hyperlink>
      <w:r w:rsidR="006F1C42" w:rsidRPr="00350F7E">
        <w:rPr>
          <w:rStyle w:val="Hyperlink"/>
          <w:rFonts w:asciiTheme="minorHAnsi" w:hAnsiTheme="minorHAnsi" w:cstheme="minorHAnsi"/>
          <w:color w:val="C00000"/>
          <w:sz w:val="22"/>
          <w:szCs w:val="22"/>
          <w:u w:val="none"/>
          <w:lang w:val="bg-BG"/>
        </w:rPr>
        <w:t xml:space="preserve"> </w:t>
      </w:r>
      <w:r w:rsidR="006F1C42" w:rsidRPr="00350F7E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bg-BG"/>
        </w:rPr>
        <w:t>„Нашият свят, нашето достойнство, нашето бъдеще“ (2017/C 210/01)</w:t>
      </w:r>
    </w:p>
    <w:p w:rsidR="002C7DBE" w:rsidRPr="0055635D" w:rsidRDefault="00A16F8D" w:rsidP="002C7DBE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626161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626161"/>
          <w:sz w:val="22"/>
          <w:szCs w:val="22"/>
        </w:rPr>
        <w:t>T</w:t>
      </w:r>
      <w:r w:rsidR="002C7DBE" w:rsidRPr="0055635D">
        <w:rPr>
          <w:rFonts w:asciiTheme="minorHAnsi" w:hAnsiTheme="minorHAnsi" w:cstheme="minorHAnsi"/>
          <w:b/>
          <w:bCs/>
          <w:color w:val="626161"/>
          <w:sz w:val="22"/>
          <w:szCs w:val="22"/>
        </w:rPr>
        <w:t xml:space="preserve">he </w:t>
      </w:r>
      <w:hyperlink r:id="rId6" w:history="1">
        <w:r w:rsidR="002C7DBE" w:rsidRPr="00A16F8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2006 European Consensus on Development</w:t>
        </w:r>
      </w:hyperlink>
      <w:r w:rsidR="002C7DBE" w:rsidRPr="0055635D">
        <w:rPr>
          <w:rFonts w:asciiTheme="minorHAnsi" w:hAnsiTheme="minorHAnsi" w:cstheme="minorHAnsi"/>
          <w:b/>
          <w:bCs/>
          <w:color w:val="626161"/>
          <w:sz w:val="22"/>
          <w:szCs w:val="22"/>
        </w:rPr>
        <w:t xml:space="preserve"> </w:t>
      </w:r>
      <w:r w:rsidR="002C7DBE" w:rsidRPr="0055635D">
        <w:rPr>
          <w:rFonts w:asciiTheme="minorHAnsi" w:hAnsiTheme="minorHAnsi" w:cstheme="minorHAnsi"/>
          <w:bCs/>
          <w:color w:val="626161"/>
          <w:sz w:val="22"/>
          <w:szCs w:val="22"/>
        </w:rPr>
        <w:t>commits the EU Council, European Parliament and Commission to a common vision</w:t>
      </w:r>
      <w:r w:rsidR="002C7DBE" w:rsidRPr="0055635D">
        <w:rPr>
          <w:rFonts w:asciiTheme="minorHAnsi" w:hAnsiTheme="minorHAnsi" w:cstheme="minorHAnsi"/>
          <w:color w:val="626161"/>
          <w:sz w:val="22"/>
          <w:szCs w:val="22"/>
        </w:rPr>
        <w:t>;</w:t>
      </w:r>
    </w:p>
    <w:p w:rsidR="002C7DBE" w:rsidRPr="00BC1EF2" w:rsidRDefault="001A0015" w:rsidP="002C7DBE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626161"/>
          <w:sz w:val="22"/>
          <w:szCs w:val="22"/>
        </w:rPr>
      </w:pPr>
      <w:hyperlink r:id="rId7" w:history="1">
        <w:r w:rsidR="002C7DBE" w:rsidRPr="00A16F8D">
          <w:rPr>
            <w:rStyle w:val="Hyperlink"/>
            <w:rFonts w:asciiTheme="minorHAnsi" w:hAnsiTheme="minorHAnsi" w:cstheme="minorHAnsi"/>
            <w:sz w:val="22"/>
            <w:szCs w:val="22"/>
          </w:rPr>
          <w:t>The European Consensus on Humanitarian</w:t>
        </w:r>
      </w:hyperlink>
      <w:r w:rsidR="002C7DBE" w:rsidRPr="00A16F8D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Aid</w:t>
      </w:r>
      <w:r w:rsidR="002C7DBE" w:rsidRPr="00A16F8D">
        <w:rPr>
          <w:rFonts w:asciiTheme="minorHAnsi" w:hAnsiTheme="minorHAnsi" w:cstheme="minorHAnsi"/>
          <w:sz w:val="22"/>
          <w:szCs w:val="22"/>
        </w:rPr>
        <w:t xml:space="preserve"> </w:t>
      </w:r>
      <w:r w:rsidR="002C7DBE" w:rsidRPr="00BC1EF2">
        <w:rPr>
          <w:rFonts w:asciiTheme="minorHAnsi" w:hAnsiTheme="minorHAnsi" w:cstheme="minorHAnsi"/>
          <w:color w:val="626161"/>
          <w:sz w:val="22"/>
          <w:szCs w:val="22"/>
        </w:rPr>
        <w:t>was adopted in November 2007;</w:t>
      </w:r>
    </w:p>
    <w:p w:rsidR="002C7DBE" w:rsidRDefault="001A0015" w:rsidP="002C7DBE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626161"/>
          <w:sz w:val="22"/>
          <w:szCs w:val="22"/>
        </w:rPr>
      </w:pPr>
      <w:hyperlink r:id="rId8" w:history="1">
        <w:r w:rsidR="002C7DBE" w:rsidRPr="00F627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The </w:t>
        </w:r>
        <w:proofErr w:type="spellStart"/>
        <w:r w:rsidR="002C7DBE" w:rsidRPr="00F62772">
          <w:rPr>
            <w:rStyle w:val="Hyperlink"/>
            <w:rFonts w:asciiTheme="minorHAnsi" w:hAnsiTheme="minorHAnsi" w:cstheme="minorHAnsi"/>
            <w:sz w:val="22"/>
            <w:szCs w:val="22"/>
          </w:rPr>
          <w:t>Cotonou</w:t>
        </w:r>
        <w:proofErr w:type="spellEnd"/>
        <w:r w:rsidR="002C7DBE" w:rsidRPr="00F627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Agreement</w:t>
        </w:r>
      </w:hyperlink>
      <w:r w:rsidR="002C7DBE" w:rsidRPr="00F62772">
        <w:rPr>
          <w:rFonts w:asciiTheme="minorHAnsi" w:hAnsiTheme="minorHAnsi" w:cstheme="minorHAnsi"/>
          <w:b/>
          <w:color w:val="626161"/>
          <w:sz w:val="22"/>
          <w:szCs w:val="22"/>
        </w:rPr>
        <w:t xml:space="preserve"> </w:t>
      </w:r>
      <w:r w:rsidR="002C7DBE" w:rsidRPr="00CD4994">
        <w:rPr>
          <w:rFonts w:asciiTheme="minorHAnsi" w:hAnsiTheme="minorHAnsi" w:cstheme="minorHAnsi"/>
          <w:color w:val="626161"/>
          <w:sz w:val="22"/>
          <w:szCs w:val="22"/>
        </w:rPr>
        <w:t xml:space="preserve">was adopted in June 2000 for the period until 2020. The Agreement outlines political, trade and development relations between Europe and ACP countries. </w:t>
      </w:r>
    </w:p>
    <w:p w:rsidR="002C7DBE" w:rsidRPr="0055635D" w:rsidRDefault="001A0015" w:rsidP="002C7DBE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626161"/>
          <w:sz w:val="22"/>
          <w:szCs w:val="22"/>
        </w:rPr>
      </w:pPr>
      <w:hyperlink r:id="rId9" w:history="1">
        <w:r w:rsidR="002C7DBE" w:rsidRPr="00F62772">
          <w:rPr>
            <w:rStyle w:val="Hyperlink"/>
            <w:rFonts w:asciiTheme="minorHAnsi" w:hAnsiTheme="minorHAnsi" w:cstheme="minorHAnsi"/>
            <w:sz w:val="22"/>
            <w:szCs w:val="22"/>
          </w:rPr>
          <w:t>The New European Consensus on Development</w:t>
        </w:r>
      </w:hyperlink>
      <w:r w:rsidR="002C7DBE" w:rsidRPr="00CD4994">
        <w:rPr>
          <w:rStyle w:val="Strong"/>
          <w:rFonts w:asciiTheme="minorHAnsi" w:hAnsiTheme="minorHAnsi" w:cstheme="minorHAnsi"/>
          <w:color w:val="626161"/>
          <w:sz w:val="22"/>
          <w:szCs w:val="22"/>
        </w:rPr>
        <w:t xml:space="preserve"> </w:t>
      </w:r>
      <w:r w:rsidR="002C7DBE" w:rsidRPr="00CD4994">
        <w:rPr>
          <w:rStyle w:val="Strong"/>
          <w:rFonts w:asciiTheme="minorHAnsi" w:hAnsiTheme="minorHAnsi" w:cstheme="minorHAnsi"/>
          <w:b w:val="0"/>
          <w:color w:val="626161"/>
          <w:sz w:val="22"/>
          <w:szCs w:val="22"/>
        </w:rPr>
        <w:t>was adopted in June 2017;</w:t>
      </w:r>
      <w:r w:rsidR="002C7DBE">
        <w:rPr>
          <w:rStyle w:val="Strong"/>
          <w:rFonts w:asciiTheme="minorHAnsi" w:hAnsiTheme="minorHAnsi" w:cstheme="minorHAnsi"/>
          <w:b w:val="0"/>
          <w:color w:val="626161"/>
          <w:sz w:val="22"/>
          <w:szCs w:val="22"/>
        </w:rPr>
        <w:t xml:space="preserve"> It is </w:t>
      </w:r>
      <w:r w:rsidR="002C7DBE" w:rsidRPr="0055635D">
        <w:rPr>
          <w:rFonts w:asciiTheme="minorHAnsi" w:hAnsiTheme="minorHAnsi" w:cstheme="minorHAnsi"/>
          <w:bCs/>
          <w:color w:val="626161"/>
          <w:sz w:val="22"/>
          <w:szCs w:val="22"/>
        </w:rPr>
        <w:t>a new common vision for development policy f</w:t>
      </w:r>
      <w:r w:rsidR="002C7DBE">
        <w:rPr>
          <w:rFonts w:asciiTheme="minorHAnsi" w:hAnsiTheme="minorHAnsi" w:cstheme="minorHAnsi"/>
          <w:bCs/>
          <w:color w:val="626161"/>
          <w:sz w:val="22"/>
          <w:szCs w:val="22"/>
        </w:rPr>
        <w:t>or the EU and its Member States;</w:t>
      </w:r>
    </w:p>
    <w:p w:rsidR="002C7DBE" w:rsidRPr="00CD4994" w:rsidRDefault="002C7DBE" w:rsidP="002C7DBE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626161"/>
          <w:sz w:val="22"/>
          <w:szCs w:val="22"/>
        </w:rPr>
      </w:pPr>
      <w:r w:rsidRPr="0055635D">
        <w:rPr>
          <w:rFonts w:asciiTheme="minorHAnsi" w:hAnsiTheme="minorHAnsi" w:cstheme="minorHAnsi"/>
          <w:color w:val="626161"/>
          <w:sz w:val="22"/>
          <w:szCs w:val="22"/>
        </w:rPr>
        <w:t xml:space="preserve">The EU also promotes </w:t>
      </w:r>
      <w:hyperlink r:id="rId10" w:history="1">
        <w:r w:rsidRPr="00F627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Policy Coherence for </w:t>
        </w:r>
        <w:bookmarkStart w:id="0" w:name="_GoBack"/>
        <w:bookmarkEnd w:id="0"/>
        <w:r w:rsidRPr="00F62772">
          <w:rPr>
            <w:rStyle w:val="Hyperlink"/>
            <w:rFonts w:asciiTheme="minorHAnsi" w:hAnsiTheme="minorHAnsi" w:cstheme="minorHAnsi"/>
            <w:sz w:val="22"/>
            <w:szCs w:val="22"/>
          </w:rPr>
          <w:t>Development</w:t>
        </w:r>
      </w:hyperlink>
      <w:r w:rsidRPr="0055635D">
        <w:rPr>
          <w:rFonts w:asciiTheme="minorHAnsi" w:hAnsiTheme="minorHAnsi" w:cstheme="minorHAnsi"/>
          <w:color w:val="626161"/>
          <w:sz w:val="22"/>
          <w:szCs w:val="22"/>
        </w:rPr>
        <w:t>, to maximise the development impact of other EU policies.</w:t>
      </w:r>
    </w:p>
    <w:p w:rsidR="002C7DBE" w:rsidRDefault="002C7DBE" w:rsidP="002C7DBE"/>
    <w:p w:rsidR="00C57F04" w:rsidRPr="002C7DBE" w:rsidRDefault="00C57F04" w:rsidP="002C7DBE">
      <w:pPr>
        <w:spacing w:before="100" w:beforeAutospacing="1" w:after="100" w:afterAutospacing="1"/>
        <w:ind w:left="720"/>
      </w:pPr>
    </w:p>
    <w:p w:rsidR="00ED6C22" w:rsidRDefault="001A0015"/>
    <w:sectPr w:rsidR="00ED6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3F5"/>
    <w:multiLevelType w:val="multilevel"/>
    <w:tmpl w:val="ACE4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04"/>
    <w:rsid w:val="001A0015"/>
    <w:rsid w:val="00220D58"/>
    <w:rsid w:val="002A4C2A"/>
    <w:rsid w:val="002C7DBE"/>
    <w:rsid w:val="002E221A"/>
    <w:rsid w:val="00350F7E"/>
    <w:rsid w:val="00425E40"/>
    <w:rsid w:val="00443A30"/>
    <w:rsid w:val="004A4FA4"/>
    <w:rsid w:val="004D50D5"/>
    <w:rsid w:val="00666742"/>
    <w:rsid w:val="006F1C42"/>
    <w:rsid w:val="00772AB3"/>
    <w:rsid w:val="0079182A"/>
    <w:rsid w:val="00A16F8D"/>
    <w:rsid w:val="00BC0C0C"/>
    <w:rsid w:val="00C3624F"/>
    <w:rsid w:val="00C57F04"/>
    <w:rsid w:val="00F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D292A-FB6F-4F23-9F84-AEF274BA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04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 списка"/>
    <w:basedOn w:val="Normal"/>
    <w:uiPriority w:val="34"/>
    <w:qFormat/>
    <w:rsid w:val="00C36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C362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3624F"/>
    <w:rPr>
      <w:rFonts w:ascii="Cambria" w:hAnsi="Cambria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24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3624F"/>
    <w:rPr>
      <w:rFonts w:ascii="Cambria" w:hAnsi="Cambria"/>
      <w:sz w:val="24"/>
      <w:szCs w:val="24"/>
      <w:lang w:val="en-GB"/>
    </w:rPr>
  </w:style>
  <w:style w:type="character" w:styleId="Strong">
    <w:name w:val="Strong"/>
    <w:uiPriority w:val="22"/>
    <w:qFormat/>
    <w:rsid w:val="00C3624F"/>
    <w:rPr>
      <w:b/>
      <w:bCs/>
    </w:rPr>
  </w:style>
  <w:style w:type="character" w:styleId="Emphasis">
    <w:name w:val="Emphasis"/>
    <w:uiPriority w:val="20"/>
    <w:qFormat/>
    <w:rsid w:val="00C3624F"/>
    <w:rPr>
      <w:i/>
      <w:iCs/>
    </w:rPr>
  </w:style>
  <w:style w:type="paragraph" w:styleId="NoSpacing">
    <w:name w:val="No Spacing"/>
    <w:uiPriority w:val="1"/>
    <w:qFormat/>
    <w:rsid w:val="00C3624F"/>
    <w:rPr>
      <w:rFonts w:ascii="Calibri" w:eastAsia="Calibri" w:hAnsi="Calibri"/>
      <w:sz w:val="22"/>
      <w:szCs w:val="22"/>
      <w:lang w:val="bg-BG"/>
    </w:rPr>
  </w:style>
  <w:style w:type="paragraph" w:styleId="ListParagraph">
    <w:name w:val="List Paragraph"/>
    <w:basedOn w:val="Normal"/>
    <w:link w:val="ListParagraphChar"/>
    <w:uiPriority w:val="34"/>
    <w:qFormat/>
    <w:rsid w:val="00C3624F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3624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C3624F"/>
    <w:rPr>
      <w:i/>
      <w:iCs/>
      <w:color w:val="808080"/>
    </w:rPr>
  </w:style>
  <w:style w:type="character" w:styleId="Hyperlink">
    <w:name w:val="Hyperlink"/>
    <w:basedOn w:val="DefaultParagraphFont"/>
    <w:uiPriority w:val="99"/>
    <w:unhideWhenUsed/>
    <w:rsid w:val="00C57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22000A1215%2801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N/TXT/?qid=1431445468547&amp;uri=CELEX:42008X0130(01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xUriServ/LexUriServ.do?uri=OJ%3AC%3A2006%3A046%3A0001%3A0019%3AEN%3A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-lex.europa.eu/legal-content/BG/TXT/HTML/?uri=OJ:C:2017:210:FULL&amp;from=EN" TargetMode="External"/><Relationship Id="rId10" Type="http://schemas.openxmlformats.org/officeDocument/2006/relationships/hyperlink" Target="https://ec.europa.eu/international-partnerships/policy-coherence-development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ilium.europa.eu/media/24004/european-consensus-on-development-2-june-2017-clean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Tenev</dc:creator>
  <cp:keywords/>
  <dc:description/>
  <cp:lastModifiedBy>Iordan Tenev</cp:lastModifiedBy>
  <cp:revision>2</cp:revision>
  <dcterms:created xsi:type="dcterms:W3CDTF">2021-05-17T11:45:00Z</dcterms:created>
  <dcterms:modified xsi:type="dcterms:W3CDTF">2021-05-17T11:45:00Z</dcterms:modified>
</cp:coreProperties>
</file>